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7E" w:rsidRPr="00AB5C7E" w:rsidRDefault="00AB5C7E" w:rsidP="00AB5C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456"/>
          <w:sz w:val="21"/>
          <w:szCs w:val="21"/>
          <w:lang w:eastAsia="hr-HR"/>
        </w:rPr>
      </w:pP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Zakonom o pravu na pristup informacijama (NN broj 25/13) uređeno je pravo na pristup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  <w:t>informacijama fizičkim i pravnim osobama putem otvorenosti i javnosti djelovanja tijela javne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  <w:t>vlasti.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  <w:t>Informacije koje posjeduju, raspolažu ili nadziru tijela javne vlasti, sukladno odredbama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  <w:t>Zakona trebaju biti dostupne svim fizičkim i pravnim osobama koje zahtijevaju pristup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  <w:t>informacijama.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  <w:t>Informacije koje tijelo javne vlasti posjeduje, kojima raspolaže ili koje nadzire</w:t>
      </w:r>
      <w:r w:rsid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,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 sadržane su u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  <w:t>katalogu informacija.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  <w:t>Tijelo javne vlasti obvezno je radi osiguravanja pristupa informacijama donijeti odluku kojom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  <w:t>će odrediti posebnu službenu osobu mjerodavnu za rješavanje ostvarivanja prava na pristup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  <w:t>informacijama – službenik za informiranje</w:t>
      </w:r>
      <w:r w:rsid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.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  <w:t>Službenik za informiranje:</w:t>
      </w:r>
    </w:p>
    <w:p w:rsidR="00AB5C7E" w:rsidRPr="00AB5C7E" w:rsidRDefault="00AB5C7E" w:rsidP="00AB5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456"/>
          <w:sz w:val="21"/>
          <w:szCs w:val="21"/>
          <w:lang w:eastAsia="hr-HR"/>
        </w:rPr>
      </w:pP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obavlja poslove rješavanja pojedinačnih zahtjeva i redovitog objavljivanja informacija,</w:t>
      </w:r>
    </w:p>
    <w:p w:rsidR="00AB5C7E" w:rsidRPr="003E06B3" w:rsidRDefault="00AB5C7E" w:rsidP="003E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456"/>
          <w:sz w:val="21"/>
          <w:szCs w:val="21"/>
          <w:lang w:eastAsia="hr-HR"/>
        </w:rPr>
      </w:pP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sukladno svom unutarnjem ustroju,</w:t>
      </w:r>
      <w:r w:rsid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 </w:t>
      </w:r>
      <w:r w:rsidRP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unapređuje način obrade, klasificiranja, čuvanja i objavljivanja informacija koje su</w:t>
      </w:r>
      <w:r w:rsid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 </w:t>
      </w:r>
      <w:r w:rsidRP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sadržane u službenim dokumentima koji se odnose na rad tijela javne vlasti,</w:t>
      </w:r>
    </w:p>
    <w:p w:rsidR="00AB5C7E" w:rsidRPr="003E06B3" w:rsidRDefault="00AB5C7E" w:rsidP="003E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456"/>
          <w:sz w:val="21"/>
          <w:szCs w:val="21"/>
          <w:lang w:eastAsia="hr-HR"/>
        </w:rPr>
      </w:pP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osigurava neophodnu pomoć podnositeljima zahtjeva u vezi s ostvarivanjem prava</w:t>
      </w:r>
      <w:r w:rsid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 </w:t>
      </w:r>
      <w:r w:rsidRP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utvrđenih ovim Zakonom</w:t>
      </w:r>
    </w:p>
    <w:p w:rsidR="003E06B3" w:rsidRDefault="00AB5C7E" w:rsidP="00AB5C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456"/>
          <w:sz w:val="21"/>
          <w:szCs w:val="21"/>
          <w:lang w:eastAsia="hr-HR"/>
        </w:rPr>
      </w:pP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Pravo na informaciju ostvaruje se podnošenjem zahtjeva Turističkoj zajednici o</w:t>
      </w:r>
      <w:r>
        <w:rPr>
          <w:rFonts w:ascii="Arial" w:eastAsia="Times New Roman" w:hAnsi="Arial" w:cs="Arial"/>
          <w:color w:val="535456"/>
          <w:sz w:val="21"/>
          <w:szCs w:val="21"/>
          <w:lang w:eastAsia="hr-HR"/>
        </w:rPr>
        <w:t>pćine Mljet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.</w:t>
      </w:r>
      <w:r w:rsid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 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Ukoliko se zahtjev podnosi pisanim putem, potrebno je ispuniti Obrazac zahtjeva za pristup</w:t>
      </w:r>
      <w:r w:rsid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 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informacijama kojeg možete poslati</w:t>
      </w:r>
      <w:r w:rsid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 ;</w:t>
      </w:r>
    </w:p>
    <w:p w:rsidR="003E06B3" w:rsidRDefault="00AB5C7E" w:rsidP="003E06B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456"/>
          <w:sz w:val="21"/>
          <w:szCs w:val="21"/>
          <w:lang w:eastAsia="hr-HR"/>
        </w:rPr>
      </w:pPr>
      <w:r w:rsidRP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na adresu: TZO Mljet, Zabrježe 2, 20225 Babino Polje</w:t>
      </w:r>
    </w:p>
    <w:p w:rsidR="003E06B3" w:rsidRDefault="00AB5C7E" w:rsidP="003E06B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456"/>
          <w:sz w:val="21"/>
          <w:szCs w:val="21"/>
          <w:lang w:eastAsia="hr-HR"/>
        </w:rPr>
      </w:pPr>
      <w:r w:rsidRP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na fax broj: 020 745025</w:t>
      </w:r>
    </w:p>
    <w:p w:rsidR="003E06B3" w:rsidRDefault="00AB5C7E" w:rsidP="003E06B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456"/>
          <w:sz w:val="21"/>
          <w:szCs w:val="21"/>
          <w:lang w:eastAsia="hr-HR"/>
        </w:rPr>
      </w:pPr>
      <w:r w:rsidRP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elektroničkom poštom službeniku za informiranje: </w:t>
      </w:r>
      <w:hyperlink r:id="rId5" w:history="1">
        <w:r w:rsidR="003E06B3" w:rsidRPr="008E00B6">
          <w:rPr>
            <w:rStyle w:val="Hyperlink"/>
            <w:rFonts w:ascii="Arial" w:eastAsia="Times New Roman" w:hAnsi="Arial" w:cs="Arial"/>
            <w:sz w:val="21"/>
            <w:szCs w:val="21"/>
            <w:lang w:eastAsia="hr-HR"/>
          </w:rPr>
          <w:t>tz.mljet@du.t-com.hr</w:t>
        </w:r>
      </w:hyperlink>
    </w:p>
    <w:p w:rsidR="00AB5C7E" w:rsidRPr="003E06B3" w:rsidRDefault="00AB5C7E" w:rsidP="003E06B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456"/>
          <w:sz w:val="21"/>
          <w:szCs w:val="21"/>
          <w:lang w:eastAsia="hr-HR"/>
        </w:rPr>
      </w:pPr>
      <w:r w:rsidRP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donijeti osobno u Turistički ured TZO Mljet , radnim danom od 8:00 do 14:00 sati. </w:t>
      </w:r>
    </w:p>
    <w:p w:rsidR="00AB5C7E" w:rsidRPr="00AB5C7E" w:rsidRDefault="00AB5C7E" w:rsidP="003E06B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35456"/>
          <w:sz w:val="21"/>
          <w:szCs w:val="21"/>
          <w:lang w:eastAsia="hr-HR"/>
        </w:rPr>
      </w:pP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Prilikom</w:t>
      </w:r>
      <w:r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 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podnošenja zahtjeva nije potrebno platiti dodatnu naknadu</w:t>
      </w:r>
      <w:r w:rsid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 uz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 obrazac</w:t>
      </w:r>
      <w:r w:rsidR="003E06B3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. Z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ahtjev za pristup informacijama može se predati usmeno, putem telefona, o čemu</w:t>
      </w:r>
      <w:r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 s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lužbenik treba sačiniti službenu zabilješku za arhivu TZO Mljet </w:t>
      </w:r>
    </w:p>
    <w:p w:rsidR="00AB5C7E" w:rsidRPr="00AB5C7E" w:rsidRDefault="00AB5C7E" w:rsidP="00AB5C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456"/>
          <w:sz w:val="21"/>
          <w:szCs w:val="21"/>
          <w:lang w:eastAsia="hr-HR"/>
        </w:rPr>
      </w:pP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Sl</w:t>
      </w:r>
      <w:r>
        <w:rPr>
          <w:rFonts w:ascii="Arial" w:eastAsia="Times New Roman" w:hAnsi="Arial" w:cs="Arial"/>
          <w:color w:val="535456"/>
          <w:sz w:val="21"/>
          <w:szCs w:val="21"/>
          <w:lang w:eastAsia="hr-HR"/>
        </w:rPr>
        <w:t xml:space="preserve">užbenik za informiranje TZO Mljet 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t>:</w:t>
      </w:r>
      <w:r w:rsidRPr="00AB5C7E">
        <w:rPr>
          <w:rFonts w:ascii="Arial" w:eastAsia="Times New Roman" w:hAnsi="Arial" w:cs="Arial"/>
          <w:color w:val="535456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535456"/>
          <w:sz w:val="21"/>
          <w:szCs w:val="21"/>
          <w:lang w:eastAsia="hr-HR"/>
        </w:rPr>
        <w:t>Andrea Anelić</w:t>
      </w:r>
    </w:p>
    <w:p w:rsidR="00902A07" w:rsidRDefault="00902A07"/>
    <w:sectPr w:rsidR="00902A07" w:rsidSect="00902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39E"/>
    <w:multiLevelType w:val="hybridMultilevel"/>
    <w:tmpl w:val="DA7E9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80938"/>
    <w:multiLevelType w:val="multilevel"/>
    <w:tmpl w:val="C7EC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913A4"/>
    <w:multiLevelType w:val="multilevel"/>
    <w:tmpl w:val="5AAA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C7E"/>
    <w:rsid w:val="003973A3"/>
    <w:rsid w:val="003E06B3"/>
    <w:rsid w:val="00902A07"/>
    <w:rsid w:val="00AB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E0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z.mljet@d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2022-06-13T07:24:00Z</dcterms:created>
  <dcterms:modified xsi:type="dcterms:W3CDTF">2022-06-13T07:24:00Z</dcterms:modified>
</cp:coreProperties>
</file>